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2"/>
        <w:snapToGrid w:val="false"/>
        <w:rPr>
          <w:rFonts w:eastAsia="標楷體"/>
          <w:b/>
          <w:b/>
          <w:bCs/>
          <w:sz w:val="28"/>
        </w:rPr>
      </w:pPr>
      <w:r>
        <w:rPr>
          <w:rFonts w:eastAsia="標楷體"/>
          <w:b/>
          <w:bCs/>
          <w:sz w:val="28"/>
        </w:rPr>
        <w:t>五、申請購置儀器規劃</w:t>
      </w:r>
    </w:p>
    <w:p>
      <w:pPr>
        <w:pStyle w:val="Style22"/>
        <w:tabs>
          <w:tab w:val="clear" w:pos="480"/>
        </w:tabs>
        <w:snapToGrid w:val="false"/>
        <w:spacing w:before="180" w:after="0"/>
        <w:ind w:left="566" w:hanging="0"/>
        <w:rPr>
          <w:rFonts w:eastAsia="標楷體"/>
          <w:b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(</w:t>
      </w:r>
      <w:r>
        <w:rPr>
          <w:rFonts w:eastAsia="標楷體"/>
          <w:b/>
          <w:bCs/>
          <w:sz w:val="26"/>
          <w:szCs w:val="26"/>
        </w:rPr>
        <w:t>一</w:t>
      </w:r>
      <w:r>
        <w:rPr>
          <w:rFonts w:eastAsia="標楷體"/>
          <w:b/>
          <w:bCs/>
          <w:sz w:val="26"/>
          <w:szCs w:val="26"/>
        </w:rPr>
        <w:t>)</w:t>
      </w:r>
      <w:r>
        <w:rPr>
          <w:rFonts w:eastAsia="標楷體"/>
          <w:b/>
          <w:bCs/>
          <w:sz w:val="26"/>
          <w:szCs w:val="26"/>
        </w:rPr>
        <w:t>基本資料</w:t>
      </w:r>
    </w:p>
    <w:p>
      <w:pPr>
        <w:pStyle w:val="Style32"/>
        <w:snapToGrid w:val="false"/>
        <w:ind w:left="616" w:right="252" w:hanging="0"/>
        <w:jc w:val="right"/>
        <w:rPr/>
      </w:pPr>
      <w:r>
        <w:rPr>
          <w:rStyle w:val="Style12"/>
          <w:rFonts w:eastAsia="標楷體"/>
          <w:b/>
          <w:bCs/>
        </w:rPr>
        <w:t xml:space="preserve">                     </w:t>
      </w:r>
      <w:r>
        <w:rPr>
          <w:rStyle w:val="Style12"/>
          <w:rFonts w:eastAsia="標楷體"/>
          <w:bCs/>
        </w:rPr>
        <w:t>金額單位：新臺幣千元</w:t>
      </w:r>
    </w:p>
    <w:tbl>
      <w:tblPr>
        <w:tblW w:w="10093" w:type="dxa"/>
        <w:jc w:val="left"/>
        <w:tblInd w:w="-7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54"/>
        <w:gridCol w:w="2126"/>
        <w:gridCol w:w="1807"/>
        <w:gridCol w:w="1984"/>
        <w:gridCol w:w="1843"/>
        <w:gridCol w:w="1879"/>
      </w:tblGrid>
      <w:tr>
        <w:trPr/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序號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儀器名稱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儀器規格附件及週邊設備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單價</w:t>
            </w:r>
          </w:p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jc w:val="center"/>
              <w:rPr/>
            </w:pPr>
            <w:r>
              <w:rPr>
                <w:rStyle w:val="Style12"/>
                <w:rFonts w:eastAsia="標楷體"/>
              </w:rPr>
              <w:t>(</w:t>
            </w:r>
            <w:r>
              <w:rPr>
                <w:rStyle w:val="Style12"/>
                <w:rFonts w:eastAsia="標楷體"/>
                <w:color w:val="FF0000"/>
              </w:rPr>
              <w:t>請檢附估價單</w:t>
            </w:r>
            <w:r>
              <w:rPr>
                <w:rStyle w:val="Style12"/>
                <w:rFonts w:eastAsia="標楷體"/>
              </w:rPr>
              <w:t>)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ind w:right="-26" w:hanging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申請補助額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ind w:right="-26" w:hanging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機構配合款</w:t>
            </w:r>
          </w:p>
          <w:p>
            <w:pPr>
              <w:pStyle w:val="Style22"/>
              <w:tabs>
                <w:tab w:val="clear" w:pos="480"/>
                <w:tab w:val="left" w:pos="360" w:leader="none"/>
              </w:tabs>
              <w:snapToGrid w:val="false"/>
              <w:ind w:right="-26" w:hanging="0"/>
              <w:jc w:val="center"/>
              <w:rPr/>
            </w:pPr>
            <w:r>
              <w:rPr>
                <w:rStyle w:val="Style12"/>
                <w:rFonts w:eastAsia="標楷體"/>
                <w:color w:val="FF0000"/>
              </w:rPr>
              <w:t>(</w:t>
            </w:r>
            <w:r>
              <w:rPr>
                <w:rStyle w:val="Style12"/>
                <w:rFonts w:eastAsia="標楷體"/>
                <w:color w:val="FF0000"/>
              </w:rPr>
              <w:t>敘明金額、來源並檢附證明文件</w:t>
            </w:r>
            <w:r>
              <w:rPr>
                <w:rStyle w:val="Style12"/>
                <w:rFonts w:eastAsia="標楷體"/>
              </w:rPr>
              <w:t>)</w:t>
            </w:r>
          </w:p>
        </w:tc>
      </w:tr>
      <w:tr>
        <w:trPr>
          <w:trHeight w:val="1665" w:hRule="atLeast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  <w:b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ind w:right="-26" w:hanging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ind w:right="-26" w:hanging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665" w:hRule="atLeast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ind w:right="-26" w:hanging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ind w:right="-26" w:hanging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972" w:hRule="atLeast"/>
        </w:trPr>
        <w:tc>
          <w:tcPr>
            <w:tcW w:w="100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</w:tabs>
              <w:ind w:left="24" w:right="-26" w:hanging="0"/>
              <w:rPr>
                <w:rFonts w:eastAsia="標楷體"/>
              </w:rPr>
            </w:pPr>
            <w:r>
              <w:rPr>
                <w:rFonts w:eastAsia="標楷體"/>
              </w:rPr>
              <w:t>簡要說明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功能及用途、服務定位、置放地點、空間環境</w:t>
            </w:r>
            <w:r>
              <w:rPr>
                <w:rFonts w:eastAsia="標楷體"/>
              </w:rPr>
              <w:t>)</w:t>
            </w:r>
          </w:p>
          <w:p>
            <w:pPr>
              <w:pStyle w:val="Style22"/>
              <w:tabs>
                <w:tab w:val="clear" w:pos="480"/>
                <w:tab w:val="left" w:pos="240" w:leader="none"/>
              </w:tabs>
              <w:spacing w:lineRule="exact" w:line="400"/>
              <w:ind w:left="24" w:hanging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  <w:p>
            <w:pPr>
              <w:pStyle w:val="Style22"/>
              <w:tabs>
                <w:tab w:val="clear" w:pos="480"/>
                <w:tab w:val="left" w:pos="240" w:leader="none"/>
              </w:tabs>
              <w:spacing w:lineRule="exact" w:line="400"/>
              <w:ind w:left="24" w:hanging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  <w:p>
            <w:pPr>
              <w:pStyle w:val="Style22"/>
              <w:tabs>
                <w:tab w:val="clear" w:pos="480"/>
                <w:tab w:val="left" w:pos="240" w:leader="none"/>
              </w:tabs>
              <w:spacing w:lineRule="exact" w:line="400"/>
              <w:ind w:left="24" w:hanging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  <w:p>
            <w:pPr>
              <w:pStyle w:val="Style22"/>
              <w:tabs>
                <w:tab w:val="clear" w:pos="480"/>
                <w:tab w:val="left" w:pos="240" w:leader="none"/>
              </w:tabs>
              <w:spacing w:lineRule="exact" w:line="400"/>
              <w:ind w:left="24" w:hanging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  <w:p>
            <w:pPr>
              <w:pStyle w:val="Style22"/>
              <w:tabs>
                <w:tab w:val="clear" w:pos="480"/>
                <w:tab w:val="left" w:pos="240" w:leader="none"/>
              </w:tabs>
              <w:spacing w:lineRule="exact" w:line="400"/>
              <w:ind w:left="24" w:hanging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  <w:p>
            <w:pPr>
              <w:pStyle w:val="Style22"/>
              <w:tabs>
                <w:tab w:val="clear" w:pos="480"/>
                <w:tab w:val="left" w:pos="240" w:leader="none"/>
              </w:tabs>
              <w:spacing w:lineRule="exact" w:line="400"/>
              <w:ind w:left="24" w:hanging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>
          <w:rStyle w:val="Style12"/>
          <w:shd w:fill="FFFF00" w:val="clear"/>
        </w:rPr>
        <w:t>M101</w:t>
      </w:r>
      <w:r>
        <w:br w:type="page"/>
      </w:r>
    </w:p>
    <w:p>
      <w:pPr>
        <w:pStyle w:val="Style22"/>
        <w:widowControl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ind w:left="566" w:hanging="0"/>
        <w:rPr>
          <w:rFonts w:eastAsia="標楷體"/>
          <w:b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(</w:t>
      </w:r>
      <w:r>
        <w:rPr>
          <w:rFonts w:eastAsia="標楷體"/>
          <w:b/>
          <w:bCs/>
          <w:sz w:val="26"/>
          <w:szCs w:val="26"/>
        </w:rPr>
        <w:t>二</w:t>
      </w:r>
      <w:r>
        <w:rPr>
          <w:rFonts w:eastAsia="標楷體"/>
          <w:b/>
          <w:bCs/>
          <w:sz w:val="26"/>
          <w:szCs w:val="26"/>
        </w:rPr>
        <w:t>)</w:t>
      </w:r>
      <w:r>
        <w:rPr>
          <w:rFonts w:eastAsia="標楷體"/>
          <w:b/>
          <w:bCs/>
          <w:sz w:val="26"/>
          <w:szCs w:val="26"/>
        </w:rPr>
        <w:t>、購置儀器之國內外研究現況、國內分佈現況與需求性說明</w:t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  <w:t>請說明</w:t>
      </w:r>
      <w:r>
        <w:rPr>
          <w:rFonts w:eastAsia="標楷體"/>
        </w:rPr>
        <w:t xml:space="preserve">1. </w:t>
      </w:r>
      <w:r>
        <w:rPr>
          <w:rFonts w:eastAsia="標楷體"/>
        </w:rPr>
        <w:t>儀器之特色與優勢</w:t>
      </w:r>
      <w:r>
        <w:rPr>
          <w:rFonts w:eastAsia="標楷體"/>
        </w:rPr>
        <w:t>2.</w:t>
      </w:r>
      <w:r>
        <w:rPr>
          <w:rFonts w:eastAsia="標楷體"/>
        </w:rPr>
        <w:t>國內</w:t>
      </w:r>
      <w:r>
        <w:rPr>
          <w:rFonts w:eastAsia="標楷體"/>
        </w:rPr>
        <w:t>/</w:t>
      </w:r>
      <w:r>
        <w:rPr>
          <w:rFonts w:eastAsia="標楷體"/>
        </w:rPr>
        <w:t>外使用同型儀器之數量及使用狀況</w:t>
      </w:r>
      <w:r>
        <w:rPr>
          <w:rFonts w:eastAsia="標楷體"/>
        </w:rPr>
        <w:t>3</w:t>
      </w:r>
      <w:r>
        <w:rPr>
          <w:rFonts w:eastAsia="標楷體"/>
        </w:rPr>
        <w:t>、儀器對申請機構及國內研究發展之相關性</w:t>
      </w:r>
      <w:r>
        <w:rPr>
          <w:rFonts w:eastAsia="標楷體"/>
        </w:rPr>
        <w:t>4</w:t>
      </w:r>
      <w:r>
        <w:rPr>
          <w:rFonts w:eastAsia="標楷體"/>
        </w:rPr>
        <w:t>、新購之需求性、必要性與急迫性</w:t>
      </w:r>
      <w:r>
        <w:rPr>
          <w:rFonts w:eastAsia="標楷體"/>
        </w:rPr>
        <w:t>5</w:t>
      </w:r>
      <w:r>
        <w:rPr>
          <w:rFonts w:eastAsia="標楷體"/>
        </w:rPr>
        <w:t>、其他理由。</w:t>
      </w:r>
    </w:p>
    <w:p>
      <w:pPr>
        <w:pStyle w:val="Style22"/>
        <w:tabs>
          <w:tab w:val="clear" w:pos="480"/>
          <w:tab w:val="left" w:pos="240" w:leader="none"/>
        </w:tabs>
        <w:ind w:firstLine="1274"/>
        <w:jc w:val="both"/>
        <w:rPr/>
      </w:pPr>
      <w:r>
        <w:rPr>
          <w:rStyle w:val="Style12"/>
          <w:rFonts w:eastAsia="標楷體"/>
        </w:rPr>
        <w:t>(</w:t>
      </w:r>
      <w:r>
        <w:rPr>
          <w:rStyle w:val="Style12"/>
          <w:rFonts w:eastAsia="標楷體"/>
        </w:rPr>
        <w:t>篇幅以一頁為限</w:t>
      </w:r>
      <w:r>
        <w:rPr>
          <w:rStyle w:val="Style12"/>
          <w:rFonts w:eastAsia="標楷體"/>
        </w:rPr>
        <w:t>)</w:t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1276" w:leader="none"/>
        </w:tabs>
        <w:spacing w:lineRule="exact" w:line="400"/>
        <w:ind w:left="1274" w:right="394" w:firstLine="2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spacing w:lineRule="exact" w:line="400"/>
        <w:rPr/>
      </w:pPr>
      <w:r>
        <w:rPr/>
        <w:t xml:space="preserve">      </w:t>
      </w:r>
      <w:r>
        <w:rPr>
          <w:rStyle w:val="Style12"/>
          <w:shd w:fill="FFFF00" w:val="clear"/>
        </w:rPr>
        <w:t>M102</w:t>
      </w:r>
      <w:r>
        <w:br w:type="page"/>
      </w:r>
    </w:p>
    <w:p>
      <w:pPr>
        <w:pStyle w:val="Style22"/>
        <w:widowControl/>
        <w:rPr/>
      </w:pPr>
      <w:r>
        <w:rPr/>
      </w:r>
    </w:p>
    <w:p>
      <w:pPr>
        <w:pStyle w:val="Style22"/>
        <w:tabs>
          <w:tab w:val="clear" w:pos="480"/>
        </w:tabs>
        <w:spacing w:lineRule="exact" w:line="360"/>
        <w:ind w:left="476" w:hanging="334"/>
        <w:jc w:val="both"/>
        <w:rPr/>
      </w:pPr>
      <w:r>
        <w:rPr>
          <w:rStyle w:val="Style12"/>
          <w:rFonts w:eastAsia="標楷體"/>
          <w:b/>
          <w:bCs/>
          <w:sz w:val="26"/>
          <w:szCs w:val="26"/>
        </w:rPr>
        <w:t>(</w:t>
      </w:r>
      <w:r>
        <w:rPr>
          <w:rStyle w:val="Style12"/>
          <w:rFonts w:eastAsia="標楷體"/>
          <w:b/>
          <w:bCs/>
          <w:sz w:val="26"/>
          <w:szCs w:val="26"/>
        </w:rPr>
        <w:t>三</w:t>
      </w:r>
      <w:r>
        <w:rPr>
          <w:rStyle w:val="Style12"/>
          <w:rFonts w:eastAsia="標楷體"/>
          <w:b/>
          <w:bCs/>
          <w:sz w:val="26"/>
          <w:szCs w:val="26"/>
        </w:rPr>
        <w:t>)</w:t>
      </w:r>
      <w:r>
        <w:rPr>
          <w:rStyle w:val="Style12"/>
          <w:rFonts w:eastAsia="標楷體"/>
          <w:b/>
          <w:bCs/>
          <w:sz w:val="26"/>
          <w:szCs w:val="26"/>
        </w:rPr>
        <w:t>、儀器共用性說明</w:t>
      </w:r>
    </w:p>
    <w:p>
      <w:pPr>
        <w:pStyle w:val="Style22"/>
        <w:tabs>
          <w:tab w:val="clear" w:pos="480"/>
        </w:tabs>
        <w:spacing w:lineRule="exact" w:line="360"/>
        <w:ind w:left="240" w:firstLine="61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請列出</w:t>
      </w:r>
      <w:r>
        <w:rPr>
          <w:rFonts w:eastAsia="標楷體"/>
        </w:rPr>
        <w:t>10</w:t>
      </w:r>
      <w:r>
        <w:rPr>
          <w:rFonts w:eastAsia="標楷體"/>
        </w:rPr>
        <w:t>位預期使用擬申購儀器之主要使用者</w:t>
      </w:r>
      <w:r>
        <w:rPr>
          <w:rFonts w:eastAsia="標楷體"/>
        </w:rPr>
        <w:t>(</w:t>
      </w:r>
      <w:r>
        <w:rPr>
          <w:rFonts w:eastAsia="標楷體"/>
        </w:rPr>
        <w:t>含校內，校外</w:t>
      </w:r>
      <w:r>
        <w:rPr>
          <w:rFonts w:eastAsia="標楷體"/>
        </w:rPr>
        <w:t>)</w:t>
      </w:r>
      <w:r>
        <w:rPr>
          <w:rFonts w:eastAsia="標楷體"/>
        </w:rPr>
        <w:t>及其預估年使用量</w:t>
      </w:r>
    </w:p>
    <w:p>
      <w:pPr>
        <w:pStyle w:val="Style22"/>
        <w:tabs>
          <w:tab w:val="clear" w:pos="480"/>
          <w:tab w:val="left" w:pos="240" w:leader="none"/>
          <w:tab w:val="left" w:pos="360" w:leader="none"/>
        </w:tabs>
        <w:spacing w:lineRule="exact" w:line="140"/>
        <w:ind w:left="306" w:hanging="306"/>
        <w:jc w:val="both"/>
        <w:rPr>
          <w:rFonts w:eastAsia="標楷體"/>
        </w:rPr>
      </w:pPr>
      <w:r>
        <w:rPr>
          <w:rFonts w:eastAsia="標楷體"/>
        </w:rPr>
        <w:t xml:space="preserve">    </w:t>
      </w:r>
    </w:p>
    <w:tbl>
      <w:tblPr>
        <w:tblW w:w="10206" w:type="dxa"/>
        <w:jc w:val="left"/>
        <w:tblInd w:w="21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1440"/>
        <w:gridCol w:w="2415"/>
        <w:gridCol w:w="992"/>
        <w:gridCol w:w="2893"/>
        <w:gridCol w:w="1926"/>
      </w:tblGrid>
      <w:tr>
        <w:trPr/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序號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預估使用者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服務單位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  稱</w:t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前三年執行科技部補助之各類研究型計畫名稱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預估使用樣品件數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</w:t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exact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Style22"/>
        <w:tabs>
          <w:tab w:val="clear" w:pos="480"/>
          <w:tab w:val="left" w:pos="30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30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300" w:leader="none"/>
        </w:tabs>
        <w:ind w:left="461" w:firstLine="389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請說明擬申購儀器未來五年內可發展或支援之學術領域、主題及國內研究現況。</w:t>
      </w:r>
    </w:p>
    <w:p>
      <w:pPr>
        <w:pStyle w:val="Style22"/>
        <w:tabs>
          <w:tab w:val="clear" w:pos="480"/>
          <w:tab w:val="left" w:pos="240" w:leader="none"/>
        </w:tabs>
        <w:ind w:firstLine="425"/>
        <w:jc w:val="both"/>
        <w:rPr/>
      </w:pPr>
      <w:r>
        <w:rPr>
          <w:rStyle w:val="Style12"/>
          <w:rFonts w:eastAsia="標楷體"/>
        </w:rPr>
        <w:t>(</w:t>
      </w:r>
      <w:r>
        <w:rPr>
          <w:rStyle w:val="Style12"/>
          <w:rFonts w:eastAsia="標楷體"/>
        </w:rPr>
        <w:t>篇幅以一頁為限</w:t>
      </w:r>
      <w:r>
        <w:rPr>
          <w:rStyle w:val="Style12"/>
          <w:rFonts w:eastAsia="標楷體"/>
        </w:rPr>
        <w:t>)</w:t>
      </w:r>
    </w:p>
    <w:p>
      <w:pPr>
        <w:pStyle w:val="Style22"/>
        <w:tabs>
          <w:tab w:val="clear" w:pos="480"/>
          <w:tab w:val="left" w:pos="240" w:leader="none"/>
          <w:tab w:val="left" w:pos="360" w:leader="none"/>
        </w:tabs>
        <w:spacing w:lineRule="exact" w:line="400"/>
        <w:jc w:val="both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>
          <w:rStyle w:val="Style12"/>
          <w:rFonts w:eastAsia="標楷體"/>
          <w:shd w:fill="FFFF00" w:val="clear"/>
        </w:rPr>
        <w:t>M103</w:t>
      </w:r>
      <w:r>
        <w:br w:type="page"/>
      </w:r>
    </w:p>
    <w:p>
      <w:pPr>
        <w:pStyle w:val="Style22"/>
        <w:widowControl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240" w:leader="none"/>
          <w:tab w:val="left" w:pos="360" w:leader="none"/>
        </w:tabs>
        <w:spacing w:lineRule="exact" w:line="400"/>
        <w:ind w:left="29" w:hanging="0"/>
        <w:jc w:val="both"/>
        <w:rPr>
          <w:rFonts w:eastAsia="標楷體"/>
          <w:b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(</w:t>
      </w:r>
      <w:r>
        <w:rPr>
          <w:rFonts w:eastAsia="標楷體"/>
          <w:b/>
          <w:bCs/>
          <w:sz w:val="26"/>
          <w:szCs w:val="26"/>
        </w:rPr>
        <w:t>四</w:t>
      </w:r>
      <w:r>
        <w:rPr>
          <w:rFonts w:eastAsia="標楷體"/>
          <w:b/>
          <w:bCs/>
          <w:sz w:val="26"/>
          <w:szCs w:val="26"/>
        </w:rPr>
        <w:t>)</w:t>
      </w:r>
      <w:r>
        <w:rPr>
          <w:rFonts w:eastAsia="標楷體"/>
          <w:b/>
          <w:bCs/>
          <w:sz w:val="26"/>
          <w:szCs w:val="26"/>
        </w:rPr>
        <w:t xml:space="preserve">、預期服務績效 </w:t>
      </w:r>
      <w:r>
        <w:rPr>
          <w:rFonts w:eastAsia="標楷體"/>
          <w:b/>
          <w:bCs/>
          <w:sz w:val="26"/>
          <w:szCs w:val="26"/>
        </w:rPr>
        <w:t>(</w:t>
      </w:r>
      <w:r>
        <w:rPr>
          <w:rFonts w:eastAsia="標楷體"/>
          <w:b/>
          <w:bCs/>
          <w:sz w:val="26"/>
          <w:szCs w:val="26"/>
        </w:rPr>
        <w:t>期間為</w:t>
      </w:r>
      <w:r>
        <w:rPr>
          <w:rFonts w:eastAsia="標楷體"/>
          <w:b/>
          <w:bCs/>
          <w:sz w:val="26"/>
          <w:szCs w:val="26"/>
        </w:rPr>
        <w:t>1</w:t>
      </w:r>
      <w:r>
        <w:rPr>
          <w:rFonts w:eastAsia="標楷體"/>
          <w:b/>
          <w:bCs/>
          <w:sz w:val="26"/>
          <w:szCs w:val="26"/>
        </w:rPr>
        <w:t>月</w:t>
      </w:r>
      <w:r>
        <w:rPr>
          <w:rFonts w:eastAsia="標楷體"/>
          <w:b/>
          <w:bCs/>
          <w:sz w:val="26"/>
          <w:szCs w:val="26"/>
        </w:rPr>
        <w:t>1</w:t>
      </w:r>
      <w:r>
        <w:rPr>
          <w:rFonts w:eastAsia="標楷體"/>
          <w:b/>
          <w:bCs/>
          <w:sz w:val="26"/>
          <w:szCs w:val="26"/>
        </w:rPr>
        <w:t>日至</w:t>
      </w:r>
      <w:r>
        <w:rPr>
          <w:rFonts w:eastAsia="標楷體"/>
          <w:b/>
          <w:bCs/>
          <w:sz w:val="26"/>
          <w:szCs w:val="26"/>
        </w:rPr>
        <w:t>12</w:t>
      </w:r>
      <w:r>
        <w:rPr>
          <w:rFonts w:eastAsia="標楷體"/>
          <w:b/>
          <w:bCs/>
          <w:sz w:val="26"/>
          <w:szCs w:val="26"/>
        </w:rPr>
        <w:t>月</w:t>
      </w:r>
      <w:r>
        <w:rPr>
          <w:rFonts w:eastAsia="標楷體"/>
          <w:b/>
          <w:bCs/>
          <w:sz w:val="26"/>
          <w:szCs w:val="26"/>
        </w:rPr>
        <w:t>31</w:t>
      </w:r>
      <w:r>
        <w:rPr>
          <w:rFonts w:eastAsia="標楷體"/>
          <w:b/>
          <w:bCs/>
          <w:sz w:val="26"/>
          <w:szCs w:val="26"/>
        </w:rPr>
        <w:t>日</w:t>
      </w:r>
      <w:r>
        <w:rPr>
          <w:rFonts w:eastAsia="標楷體"/>
          <w:b/>
          <w:bCs/>
          <w:sz w:val="26"/>
          <w:szCs w:val="26"/>
        </w:rPr>
        <w:t>)</w:t>
      </w:r>
      <w:r>
        <w:rPr>
          <w:rFonts w:eastAsia="標楷體"/>
          <w:b/>
          <w:bCs/>
          <w:sz w:val="26"/>
          <w:szCs w:val="26"/>
        </w:rPr>
        <w:t>：</w:t>
      </w:r>
    </w:p>
    <w:p>
      <w:pPr>
        <w:pStyle w:val="Style22"/>
        <w:tabs>
          <w:tab w:val="clear" w:pos="480"/>
          <w:tab w:val="left" w:pos="240" w:leader="none"/>
        </w:tabs>
        <w:snapToGrid w:val="false"/>
        <w:spacing w:lineRule="atLeast" w:line="240"/>
        <w:rPr>
          <w:rFonts w:eastAsia="標楷體"/>
        </w:rPr>
      </w:pPr>
      <w:r>
        <w:rPr>
          <w:rFonts w:eastAsia="標楷體"/>
        </w:rPr>
      </w:r>
    </w:p>
    <w:tbl>
      <w:tblPr>
        <w:tblW w:w="9960" w:type="dxa"/>
        <w:jc w:val="left"/>
        <w:tblInd w:w="21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960"/>
      </w:tblGrid>
      <w:tr>
        <w:trPr>
          <w:trHeight w:val="11777" w:hRule="atLeast"/>
        </w:trPr>
        <w:tc>
          <w:tcPr>
            <w:tcW w:w="9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32"/>
              <w:numPr>
                <w:ilvl w:val="0"/>
                <w:numId w:val="3"/>
              </w:numPr>
              <w:tabs>
                <w:tab w:val="left" w:pos="240" w:leader="none"/>
              </w:tabs>
              <w:ind w:left="480" w:hanging="0"/>
              <w:jc w:val="both"/>
              <w:rPr/>
            </w:pPr>
            <w:r>
              <w:rPr>
                <w:rStyle w:val="Style12"/>
                <w:rFonts w:eastAsia="標楷體"/>
              </w:rPr>
              <w:t>量化</w:t>
            </w:r>
            <w:r>
              <w:rPr>
                <w:rStyle w:val="Style12"/>
                <w:rFonts w:eastAsia="標楷體"/>
                <w:bCs/>
              </w:rPr>
              <w:t>績效</w:t>
            </w:r>
            <w:r>
              <w:rPr>
                <w:rStyle w:val="Style12"/>
                <w:rFonts w:eastAsia="標楷體"/>
              </w:rPr>
              <w:t>(</w:t>
            </w:r>
            <w:r>
              <w:rPr>
                <w:rStyle w:val="Style12"/>
                <w:rFonts w:eastAsia="標楷體"/>
              </w:rPr>
              <w:t>如服務人次、件數、服務收入</w:t>
            </w:r>
            <w:r>
              <w:rPr>
                <w:rStyle w:val="Style12"/>
                <w:rFonts w:eastAsia="標楷體"/>
              </w:rPr>
              <w:t>)</w:t>
            </w:r>
          </w:p>
          <w:p>
            <w:pPr>
              <w:pStyle w:val="Style32"/>
              <w:tabs>
                <w:tab w:val="left" w:pos="240" w:leader="none"/>
              </w:tabs>
              <w:ind w:left="480" w:hanging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  <w:u w:val="single"/>
              </w:rPr>
            </w:r>
          </w:p>
          <w:p>
            <w:pPr>
              <w:pStyle w:val="Style32"/>
              <w:tabs>
                <w:tab w:val="left" w:pos="240" w:leader="none"/>
              </w:tabs>
              <w:ind w:left="480" w:hanging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  <w:u w:val="single"/>
              </w:rPr>
            </w:r>
          </w:p>
          <w:p>
            <w:pPr>
              <w:pStyle w:val="Style32"/>
              <w:tabs>
                <w:tab w:val="left" w:pos="240" w:leader="none"/>
              </w:tabs>
              <w:ind w:left="480" w:hanging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  <w:u w:val="single"/>
              </w:rPr>
            </w:r>
          </w:p>
          <w:p>
            <w:pPr>
              <w:pStyle w:val="Style32"/>
              <w:tabs>
                <w:tab w:val="left" w:pos="240" w:leader="none"/>
              </w:tabs>
              <w:ind w:left="480" w:hanging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  <w:u w:val="single"/>
              </w:rPr>
            </w:r>
          </w:p>
          <w:p>
            <w:pPr>
              <w:pStyle w:val="Style32"/>
              <w:tabs>
                <w:tab w:val="left" w:pos="240" w:leader="none"/>
              </w:tabs>
              <w:ind w:left="480" w:hanging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  <w:u w:val="single"/>
              </w:rPr>
            </w:r>
          </w:p>
          <w:p>
            <w:pPr>
              <w:pStyle w:val="Style32"/>
              <w:tabs>
                <w:tab w:val="left" w:pos="240" w:leader="none"/>
              </w:tabs>
              <w:ind w:left="480" w:hanging="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/>
                <w:u w:val="single"/>
              </w:rPr>
            </w:r>
          </w:p>
          <w:p>
            <w:pPr>
              <w:pStyle w:val="Style32"/>
              <w:numPr>
                <w:ilvl w:val="0"/>
                <w:numId w:val="3"/>
              </w:numPr>
              <w:tabs>
                <w:tab w:val="left" w:pos="240" w:leader="none"/>
              </w:tabs>
              <w:ind w:left="480" w:hanging="0"/>
              <w:jc w:val="both"/>
              <w:rPr/>
            </w:pPr>
            <w:r>
              <w:rPr>
                <w:rStyle w:val="Style12"/>
                <w:rFonts w:eastAsia="標楷體"/>
              </w:rPr>
              <w:t>質化</w:t>
            </w:r>
            <w:r>
              <w:rPr>
                <w:rStyle w:val="Style12"/>
                <w:rFonts w:eastAsia="標楷體"/>
                <w:bCs/>
              </w:rPr>
              <w:t>績效</w:t>
            </w:r>
            <w:r>
              <w:rPr>
                <w:rStyle w:val="Style12"/>
                <w:rFonts w:eastAsia="標楷體"/>
              </w:rPr>
              <w:t>(</w:t>
            </w:r>
            <w:r>
              <w:rPr>
                <w:rStyle w:val="Style12"/>
                <w:rFonts w:eastAsia="標楷體"/>
              </w:rPr>
              <w:t>如學術效益、貢獻</w:t>
            </w:r>
            <w:r>
              <w:rPr>
                <w:rStyle w:val="Style12"/>
                <w:rFonts w:eastAsia="標楷體"/>
              </w:rPr>
              <w:t>)</w:t>
            </w:r>
          </w:p>
        </w:tc>
      </w:tr>
    </w:tbl>
    <w:p>
      <w:pPr>
        <w:pStyle w:val="Style22"/>
        <w:rPr/>
      </w:pPr>
      <w:r>
        <w:rPr>
          <w:rStyle w:val="Style12"/>
          <w:shd w:fill="FFFF00" w:val="clear"/>
        </w:rPr>
        <w:t>M104</w:t>
      </w:r>
      <w:r>
        <w:br w:type="page"/>
      </w:r>
    </w:p>
    <w:p>
      <w:pPr>
        <w:pStyle w:val="Style22"/>
        <w:widowControl/>
        <w:rPr/>
      </w:pPr>
      <w:r>
        <w:rPr/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rPr>
          <w:rFonts w:eastAsia="標楷體"/>
          <w:b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>(</w:t>
      </w:r>
      <w:r>
        <w:rPr>
          <w:rFonts w:eastAsia="標楷體"/>
          <w:b/>
          <w:sz w:val="26"/>
          <w:szCs w:val="26"/>
        </w:rPr>
        <w:t>五</w:t>
      </w:r>
      <w:r>
        <w:rPr>
          <w:rFonts w:eastAsia="標楷體"/>
          <w:b/>
          <w:sz w:val="26"/>
          <w:szCs w:val="26"/>
        </w:rPr>
        <w:t>)</w:t>
      </w:r>
      <w:r>
        <w:rPr>
          <w:rFonts w:eastAsia="標楷體"/>
          <w:b/>
          <w:sz w:val="26"/>
          <w:szCs w:val="26"/>
        </w:rPr>
        <w:t>、儀器購置規劃過程</w:t>
      </w:r>
    </w:p>
    <w:p>
      <w:pPr>
        <w:pStyle w:val="Style22"/>
        <w:tabs>
          <w:tab w:val="clear" w:pos="480"/>
          <w:tab w:val="left" w:pos="-120" w:leader="none"/>
        </w:tabs>
        <w:ind w:left="240" w:firstLine="326"/>
        <w:jc w:val="both"/>
        <w:rPr/>
      </w:pPr>
      <w:r>
        <w:rPr>
          <w:rStyle w:val="Style12"/>
          <w:rFonts w:eastAsia="標楷體"/>
        </w:rPr>
        <w:t>1.</w:t>
      </w:r>
      <w:r>
        <w:rPr>
          <w:rStyle w:val="Style12"/>
          <w:rFonts w:eastAsia="標楷體"/>
        </w:rPr>
        <w:t>購置計</w:t>
      </w:r>
      <w:r>
        <w:rPr>
          <w:rStyle w:val="Style12"/>
          <w:rFonts w:eastAsia="標楷體"/>
          <w:bCs/>
        </w:rPr>
        <w:t>畫之研擬程序</w:t>
      </w:r>
    </w:p>
    <w:p>
      <w:pPr>
        <w:pStyle w:val="Style22"/>
        <w:tabs>
          <w:tab w:val="clear" w:pos="480"/>
          <w:tab w:val="left" w:pos="-120" w:leader="none"/>
        </w:tabs>
        <w:ind w:left="566" w:right="252" w:hanging="0"/>
        <w:jc w:val="both"/>
        <w:rPr/>
      </w:pPr>
      <w:r>
        <w:rPr>
          <w:rStyle w:val="Style12"/>
          <w:rFonts w:eastAsia="標楷體"/>
        </w:rPr>
        <w:t>如已</w:t>
      </w:r>
      <w:r>
        <w:rPr>
          <w:rStyle w:val="Style12"/>
          <w:rFonts w:eastAsia="標楷體"/>
        </w:rPr>
        <w:t>(</w:t>
      </w:r>
      <w:r>
        <w:rPr>
          <w:rStyle w:val="Style12"/>
          <w:rFonts w:eastAsia="標楷體"/>
        </w:rPr>
        <w:t>或擬</w:t>
      </w:r>
      <w:r>
        <w:rPr>
          <w:rStyle w:val="Style12"/>
          <w:rFonts w:eastAsia="標楷體"/>
        </w:rPr>
        <w:t>)</w:t>
      </w:r>
      <w:r>
        <w:rPr>
          <w:rStyle w:val="Style12"/>
          <w:rFonts w:eastAsia="標楷體"/>
        </w:rPr>
        <w:t>成立「儀器使用管理委員會」管理本開放服務</w:t>
      </w:r>
      <w:r>
        <w:rPr>
          <w:rStyle w:val="Style12"/>
          <w:rFonts w:eastAsia="標楷體"/>
          <w:bCs/>
        </w:rPr>
        <w:t>之儀器</w:t>
      </w:r>
      <w:r>
        <w:rPr>
          <w:rStyle w:val="Style12"/>
          <w:rFonts w:eastAsia="標楷體"/>
        </w:rPr>
        <w:t>，請說明：</w:t>
      </w:r>
      <w:r>
        <w:rPr>
          <w:rStyle w:val="Style12"/>
          <w:rFonts w:eastAsia="標楷體"/>
        </w:rPr>
        <w:t>1.</w:t>
      </w:r>
      <w:r>
        <w:rPr>
          <w:rStyle w:val="Style12"/>
          <w:rFonts w:eastAsia="標楷體"/>
        </w:rPr>
        <w:t>其在機構</w:t>
      </w:r>
      <w:r>
        <w:rPr>
          <w:rStyle w:val="Style12"/>
          <w:rFonts w:eastAsia="標楷體"/>
        </w:rPr>
        <w:t>(</w:t>
      </w:r>
      <w:r>
        <w:rPr>
          <w:rStyle w:val="Style12"/>
          <w:rFonts w:eastAsia="標楷體"/>
        </w:rPr>
        <w:t>學校</w:t>
      </w:r>
      <w:r>
        <w:rPr>
          <w:rStyle w:val="Style12"/>
          <w:rFonts w:eastAsia="標楷體"/>
        </w:rPr>
        <w:t>)</w:t>
      </w:r>
      <w:r>
        <w:rPr>
          <w:rStyle w:val="Style12"/>
          <w:rFonts w:eastAsia="標楷體"/>
        </w:rPr>
        <w:t>內之組織定位；</w:t>
      </w:r>
      <w:r>
        <w:rPr>
          <w:rStyle w:val="Style12"/>
          <w:rFonts w:eastAsia="標楷體"/>
          <w:bCs/>
        </w:rPr>
        <w:t>2.</w:t>
      </w:r>
      <w:r>
        <w:rPr>
          <w:rStyle w:val="Style12"/>
          <w:rFonts w:eastAsia="標楷體"/>
        </w:rPr>
        <w:t>其組織成員及職責；</w:t>
      </w:r>
      <w:r>
        <w:rPr>
          <w:rStyle w:val="Style12"/>
          <w:rFonts w:eastAsia="標楷體"/>
          <w:bCs/>
        </w:rPr>
        <w:t>3.</w:t>
      </w:r>
      <w:r>
        <w:rPr>
          <w:rStyle w:val="Style12"/>
          <w:rFonts w:eastAsia="標楷體"/>
        </w:rPr>
        <w:t>其運作機制、獲得機構</w:t>
      </w:r>
      <w:r>
        <w:rPr>
          <w:rStyle w:val="Style12"/>
          <w:rFonts w:eastAsia="標楷體"/>
        </w:rPr>
        <w:t>(</w:t>
      </w:r>
      <w:r>
        <w:rPr>
          <w:rStyle w:val="Style12"/>
          <w:rFonts w:eastAsia="標楷體"/>
        </w:rPr>
        <w:t>學校</w:t>
      </w:r>
      <w:r>
        <w:rPr>
          <w:rStyle w:val="Style12"/>
          <w:rFonts w:eastAsia="標楷體"/>
        </w:rPr>
        <w:t>)</w:t>
      </w:r>
      <w:r>
        <w:rPr>
          <w:rStyle w:val="Style12"/>
          <w:rFonts w:eastAsia="標楷體"/>
        </w:rPr>
        <w:t>或其他</w:t>
      </w:r>
      <w:r>
        <w:rPr>
          <w:rStyle w:val="Style12"/>
          <w:rFonts w:eastAsia="標楷體"/>
          <w:bCs/>
        </w:rPr>
        <w:t>單位</w:t>
      </w:r>
      <w:r>
        <w:rPr>
          <w:rStyle w:val="Style12"/>
          <w:rFonts w:eastAsia="標楷體"/>
        </w:rPr>
        <w:t>支助、支援之情況；</w:t>
      </w:r>
      <w:r>
        <w:rPr>
          <w:rStyle w:val="Style12"/>
          <w:rFonts w:eastAsia="標楷體"/>
        </w:rPr>
        <w:t>4.</w:t>
      </w:r>
      <w:r>
        <w:rPr>
          <w:rStyle w:val="Style12"/>
          <w:rFonts w:eastAsia="標楷體"/>
        </w:rPr>
        <w:t>本計畫之研擬程</w:t>
      </w:r>
      <w:r>
        <w:rPr>
          <w:rStyle w:val="Style12"/>
          <w:rFonts w:eastAsia="標楷體"/>
          <w:bCs/>
        </w:rPr>
        <w:t>序</w:t>
      </w:r>
      <w:r>
        <w:rPr>
          <w:rStyle w:val="Style12"/>
          <w:rFonts w:eastAsia="標楷體"/>
        </w:rPr>
        <w:t>、作業過程等。</w:t>
      </w:r>
      <w:r>
        <w:rPr>
          <w:rStyle w:val="Style12"/>
          <w:rFonts w:eastAsia="標楷體"/>
        </w:rPr>
        <w:t>(</w:t>
      </w:r>
      <w:r>
        <w:rPr>
          <w:rStyle w:val="Style12"/>
          <w:rFonts w:eastAsia="標楷體"/>
        </w:rPr>
        <w:t>篇幅以</w:t>
      </w:r>
      <w:r>
        <w:rPr>
          <w:rStyle w:val="Style12"/>
          <w:rFonts w:eastAsia="標楷體"/>
        </w:rPr>
        <w:t>1</w:t>
      </w:r>
      <w:r>
        <w:rPr>
          <w:rStyle w:val="Style12"/>
          <w:rFonts w:eastAsia="標楷體"/>
        </w:rPr>
        <w:t>頁為限</w:t>
      </w:r>
      <w:r>
        <w:rPr>
          <w:rStyle w:val="Style12"/>
          <w:rFonts w:eastAsia="標楷體"/>
        </w:rPr>
        <w:t>)</w:t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142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142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142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142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142"/>
        <w:rPr>
          <w:rFonts w:eastAsia="標楷體"/>
        </w:rPr>
      </w:pPr>
      <w:r>
        <w:rPr>
          <w:rFonts w:eastAsia="標楷體"/>
        </w:rPr>
        <w:t xml:space="preserve"> </w:t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142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-120" w:leader="none"/>
        </w:tabs>
        <w:snapToGrid w:val="false"/>
        <w:spacing w:lineRule="atLeast" w:line="240"/>
        <w:ind w:firstLine="566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儀器購置小組成員及工作內容</w:t>
      </w:r>
    </w:p>
    <w:tbl>
      <w:tblPr>
        <w:tblW w:w="9932" w:type="dxa"/>
        <w:jc w:val="left"/>
        <w:tblInd w:w="4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02"/>
        <w:gridCol w:w="1193"/>
        <w:gridCol w:w="2267"/>
        <w:gridCol w:w="5370"/>
      </w:tblGrid>
      <w:tr>
        <w:trPr/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服務單位</w:t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工作項目</w:t>
            </w:r>
          </w:p>
        </w:tc>
      </w:tr>
      <w:tr>
        <w:trPr>
          <w:trHeight w:val="567" w:hRule="exact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7" w:hRule="exact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7" w:hRule="exact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7" w:hRule="exact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7" w:hRule="exact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67" w:hRule="exact"/>
        </w:trPr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240" w:leader="none"/>
              </w:tabs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Style22"/>
        <w:tabs>
          <w:tab w:val="clear" w:pos="480"/>
          <w:tab w:val="left" w:pos="240" w:leader="none"/>
          <w:tab w:val="left" w:pos="360" w:leader="none"/>
        </w:tabs>
        <w:spacing w:lineRule="exact" w:line="400"/>
        <w:ind w:left="29" w:hanging="0"/>
        <w:jc w:val="both"/>
        <w:rPr/>
      </w:pPr>
      <w:r>
        <w:rPr>
          <w:rStyle w:val="Style12"/>
          <w:rFonts w:eastAsia="標楷體"/>
          <w:bCs/>
          <w:shd w:fill="FFFF00" w:val="clear"/>
        </w:rPr>
        <w:t>M105</w:t>
      </w:r>
    </w:p>
    <w:p>
      <w:pPr>
        <w:pStyle w:val="Style22"/>
        <w:tabs>
          <w:tab w:val="clear" w:pos="480"/>
          <w:tab w:val="left" w:pos="240" w:leader="none"/>
        </w:tabs>
        <w:spacing w:lineRule="exact" w:line="400"/>
        <w:rPr/>
      </w:pPr>
      <w:r>
        <w:rPr/>
      </w:r>
      <w:r>
        <w:br w:type="page"/>
      </w:r>
    </w:p>
    <w:p>
      <w:pPr>
        <w:pStyle w:val="Style22"/>
        <w:widowControl/>
        <w:rPr/>
      </w:pPr>
      <w:r>
        <w:rPr/>
      </w:r>
    </w:p>
    <w:p>
      <w:pPr>
        <w:pStyle w:val="Style22"/>
        <w:rPr>
          <w:rFonts w:eastAsia="標楷體"/>
          <w:b/>
          <w:b/>
          <w:bCs/>
          <w:sz w:val="26"/>
          <w:szCs w:val="26"/>
        </w:rPr>
      </w:pPr>
      <w:r>
        <w:rPr>
          <w:rFonts w:eastAsia="標楷體"/>
          <w:b/>
          <w:bCs/>
          <w:sz w:val="26"/>
          <w:szCs w:val="26"/>
        </w:rPr>
        <w:t>(</w:t>
      </w:r>
      <w:r>
        <w:rPr>
          <w:rFonts w:eastAsia="標楷體"/>
          <w:b/>
          <w:bCs/>
          <w:sz w:val="26"/>
          <w:szCs w:val="26"/>
        </w:rPr>
        <w:t>六</w:t>
      </w:r>
      <w:r>
        <w:rPr>
          <w:rFonts w:eastAsia="標楷體"/>
          <w:b/>
          <w:bCs/>
          <w:sz w:val="26"/>
          <w:szCs w:val="26"/>
        </w:rPr>
        <w:t>)</w:t>
      </w:r>
      <w:r>
        <w:rPr>
          <w:rFonts w:eastAsia="標楷體"/>
          <w:b/>
          <w:bCs/>
          <w:sz w:val="26"/>
          <w:szCs w:val="26"/>
        </w:rPr>
        <w:t>、儀器服務定價之規劃</w:t>
      </w:r>
    </w:p>
    <w:p>
      <w:pPr>
        <w:pStyle w:val="Style22"/>
        <w:tabs>
          <w:tab w:val="clear" w:pos="480"/>
        </w:tabs>
        <w:ind w:left="120" w:firstLine="588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服務內容及收費標準分析</w:t>
      </w:r>
    </w:p>
    <w:tbl>
      <w:tblPr>
        <w:tblW w:w="9988" w:type="dxa"/>
        <w:jc w:val="left"/>
        <w:tblInd w:w="-7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68"/>
        <w:gridCol w:w="4080"/>
        <w:gridCol w:w="1800"/>
        <w:gridCol w:w="2640"/>
      </w:tblGrid>
      <w:tr>
        <w:trPr/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服務項目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服務內容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使用學門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收費標準</w:t>
            </w:r>
          </w:p>
        </w:tc>
      </w:tr>
      <w:tr>
        <w:trPr>
          <w:trHeight w:val="825" w:hRule="atLeast"/>
        </w:trPr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825" w:hRule="atLeast"/>
        </w:trPr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825" w:hRule="atLeast"/>
        </w:trPr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tabs>
                <w:tab w:val="clear" w:pos="480"/>
                <w:tab w:val="left" w:pos="360" w:leader="none"/>
                <w:tab w:val="left" w:pos="56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Style22"/>
        <w:tabs>
          <w:tab w:val="clear" w:pos="480"/>
          <w:tab w:val="left" w:pos="360" w:leader="none"/>
        </w:tabs>
        <w:ind w:left="392" w:hanging="406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360" w:leader="none"/>
        </w:tabs>
        <w:ind w:left="392" w:hanging="406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360" w:leader="none"/>
        </w:tabs>
        <w:ind w:left="391" w:firstLine="317"/>
        <w:jc w:val="both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請說明運作服務費定價成本分析。</w:t>
      </w:r>
      <w:r>
        <w:rPr>
          <w:rFonts w:eastAsia="標楷體"/>
        </w:rPr>
        <w:t>(</w:t>
      </w:r>
      <w:r>
        <w:rPr>
          <w:rFonts w:eastAsia="標楷體"/>
        </w:rPr>
        <w:t>篇幅以</w:t>
      </w:r>
      <w:r>
        <w:rPr>
          <w:rFonts w:eastAsia="標楷體"/>
        </w:rPr>
        <w:t>1</w:t>
      </w:r>
      <w:r>
        <w:rPr>
          <w:rFonts w:eastAsia="標楷體"/>
        </w:rPr>
        <w:t>頁為限</w:t>
      </w:r>
      <w:r>
        <w:rPr>
          <w:rFonts w:eastAsia="標楷體"/>
        </w:rPr>
        <w:t>)</w:t>
      </w:r>
    </w:p>
    <w:p>
      <w:pPr>
        <w:pStyle w:val="Style22"/>
        <w:tabs>
          <w:tab w:val="clear" w:pos="480"/>
          <w:tab w:val="left" w:pos="360" w:leader="none"/>
        </w:tabs>
        <w:ind w:left="426" w:hanging="440"/>
        <w:jc w:val="both"/>
        <w:rPr>
          <w:rFonts w:eastAsia="標楷體"/>
          <w:b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</w:r>
    </w:p>
    <w:p>
      <w:pPr>
        <w:pStyle w:val="Style22"/>
        <w:tabs>
          <w:tab w:val="clear" w:pos="480"/>
          <w:tab w:val="left" w:pos="360" w:leader="none"/>
        </w:tabs>
        <w:ind w:left="426" w:hanging="440"/>
        <w:jc w:val="both"/>
        <w:rPr>
          <w:rFonts w:eastAsia="標楷體"/>
          <w:b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</w:r>
    </w:p>
    <w:p>
      <w:pPr>
        <w:pStyle w:val="Style22"/>
        <w:tabs>
          <w:tab w:val="clear" w:pos="480"/>
          <w:tab w:val="left" w:pos="360" w:leader="none"/>
        </w:tabs>
        <w:ind w:left="392" w:hanging="406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360" w:leader="none"/>
        </w:tabs>
        <w:ind w:left="392" w:hanging="406"/>
        <w:jc w:val="both"/>
        <w:rPr/>
      </w:pPr>
      <w:r>
        <w:rPr>
          <w:rStyle w:val="Style12"/>
          <w:rFonts w:eastAsia="標楷體"/>
          <w:shd w:fill="FFFF00" w:val="clear"/>
        </w:rPr>
        <w:t>M106</w:t>
      </w:r>
      <w:r>
        <w:br w:type="page"/>
      </w:r>
    </w:p>
    <w:p>
      <w:pPr>
        <w:pStyle w:val="Style22"/>
        <w:widowControl/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tabs>
          <w:tab w:val="clear" w:pos="480"/>
          <w:tab w:val="left" w:pos="360" w:leader="none"/>
        </w:tabs>
        <w:ind w:left="426" w:hanging="440"/>
        <w:jc w:val="both"/>
        <w:rPr/>
      </w:pPr>
      <w:r>
        <w:rPr>
          <w:rStyle w:val="Style12"/>
          <w:rFonts w:eastAsia="標楷體"/>
          <w:b/>
          <w:sz w:val="26"/>
          <w:szCs w:val="26"/>
        </w:rPr>
        <w:t>(</w:t>
      </w:r>
      <w:r>
        <w:rPr>
          <w:rStyle w:val="Style12"/>
          <w:rFonts w:eastAsia="標楷體"/>
          <w:b/>
          <w:sz w:val="26"/>
          <w:szCs w:val="26"/>
        </w:rPr>
        <w:t>七</w:t>
      </w:r>
      <w:r>
        <w:rPr>
          <w:rStyle w:val="Style12"/>
          <w:rFonts w:eastAsia="標楷體"/>
          <w:b/>
          <w:sz w:val="26"/>
          <w:szCs w:val="26"/>
        </w:rPr>
        <w:t>)</w:t>
      </w:r>
      <w:r>
        <w:rPr>
          <w:rStyle w:val="Style12"/>
          <w:rFonts w:eastAsia="標楷體"/>
          <w:b/>
          <w:sz w:val="26"/>
          <w:szCs w:val="26"/>
        </w:rPr>
        <w:t>、</w:t>
      </w:r>
      <w:r>
        <w:rPr>
          <w:rStyle w:val="Style12"/>
          <w:rFonts w:eastAsia="標楷體"/>
          <w:b/>
          <w:bCs/>
          <w:sz w:val="26"/>
          <w:szCs w:val="26"/>
        </w:rPr>
        <w:t>儀器服務人力規劃</w:t>
      </w:r>
    </w:p>
    <w:p>
      <w:pPr>
        <w:pStyle w:val="Style22"/>
        <w:tabs>
          <w:tab w:val="clear" w:pos="480"/>
          <w:tab w:val="left" w:pos="360" w:leader="none"/>
        </w:tabs>
        <w:ind w:left="391" w:firstLine="317"/>
        <w:jc w:val="both"/>
        <w:rPr/>
      </w:pPr>
      <w:r>
        <w:rPr>
          <w:rStyle w:val="Style12"/>
          <w:rFonts w:eastAsia="標楷體"/>
        </w:rPr>
        <w:t>1.</w:t>
      </w:r>
      <w:r>
        <w:rPr>
          <w:rStyle w:val="Style12"/>
          <w:rFonts w:eastAsia="標楷體"/>
          <w:b/>
          <w:sz w:val="26"/>
          <w:szCs w:val="26"/>
        </w:rPr>
        <w:t>儀器專家</w:t>
      </w:r>
    </w:p>
    <w:p>
      <w:pPr>
        <w:pStyle w:val="Style22"/>
        <w:tabs>
          <w:tab w:val="clear" w:pos="480"/>
          <w:tab w:val="left" w:pos="360" w:leader="none"/>
        </w:tabs>
        <w:ind w:left="392" w:hanging="166"/>
        <w:jc w:val="both"/>
        <w:rPr>
          <w:rFonts w:eastAsia="標楷體"/>
        </w:rPr>
      </w:pPr>
      <w:r>
        <w:rPr>
          <w:rFonts w:eastAsia="標楷體"/>
        </w:rPr>
        <w:t>請說明對本儀器的使用經驗及過去利用類似儀器所獲之研究成果，並請說明在本儀器之工作內容。</w:t>
      </w:r>
    </w:p>
    <w:tbl>
      <w:tblPr>
        <w:tblW w:w="10298" w:type="dxa"/>
        <w:jc w:val="left"/>
        <w:tblInd w:w="3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70"/>
        <w:gridCol w:w="1492"/>
        <w:gridCol w:w="995"/>
        <w:gridCol w:w="1368"/>
        <w:gridCol w:w="1243"/>
        <w:gridCol w:w="4330"/>
      </w:tblGrid>
      <w:tr>
        <w:trPr/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 名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服務單位</w:t>
            </w:r>
          </w:p>
        </w:tc>
        <w:tc>
          <w:tcPr>
            <w:tcW w:w="4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 話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傳 真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4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1039" w:hRule="atLeast"/>
        </w:trPr>
        <w:tc>
          <w:tcPr>
            <w:tcW w:w="102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2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篇幅以一頁為限</w:t>
            </w:r>
            <w:r>
              <w:rPr>
                <w:rFonts w:eastAsia="標楷體"/>
              </w:rPr>
              <w:t>)</w:t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794" w:right="794" w:header="0" w:top="851" w:footer="992" w:bottom="340" w:gutter="0"/>
          <w:pgNumType w:start="1" w:fmt="decimal"/>
          <w:formProt w:val="false"/>
          <w:textDirection w:val="lrTb"/>
          <w:docGrid w:type="lines" w:linePitch="600" w:charSpace="4294946815"/>
        </w:sectPr>
      </w:pPr>
    </w:p>
    <w:p>
      <w:pPr>
        <w:pStyle w:val="Style22"/>
        <w:tabs>
          <w:tab w:val="clear" w:pos="480"/>
          <w:tab w:val="left" w:pos="360" w:leader="none"/>
        </w:tabs>
        <w:ind w:left="391" w:firstLine="34"/>
        <w:jc w:val="both"/>
        <w:rPr/>
      </w:pPr>
      <w:r>
        <w:rPr>
          <w:rStyle w:val="Style12"/>
          <w:rFonts w:eastAsia="標楷體"/>
          <w:b/>
          <w:bCs/>
        </w:rPr>
        <w:t>2.</w:t>
      </w:r>
      <w:r>
        <w:rPr>
          <w:rStyle w:val="Style12"/>
          <w:rFonts w:eastAsia="標楷體"/>
          <w:b/>
          <w:bCs/>
        </w:rPr>
        <w:t>技術人員</w:t>
      </w:r>
    </w:p>
    <w:p>
      <w:pPr>
        <w:pStyle w:val="Style22"/>
        <w:tabs>
          <w:tab w:val="clear" w:pos="480"/>
          <w:tab w:val="left" w:pos="-120" w:leader="none"/>
        </w:tabs>
        <w:ind w:left="391" w:firstLine="34"/>
        <w:rPr>
          <w:rFonts w:eastAsia="標楷體"/>
        </w:rPr>
      </w:pPr>
      <w:r>
        <w:rPr>
          <w:rFonts w:eastAsia="標楷體"/>
        </w:rPr>
        <w:t>人力規劃說明：</w:t>
      </w:r>
      <w:r>
        <w:rPr>
          <w:rFonts w:eastAsia="標楷體"/>
        </w:rPr>
        <w:t>(1)</w:t>
      </w:r>
      <w:r>
        <w:rPr>
          <w:rFonts w:eastAsia="標楷體"/>
        </w:rPr>
        <w:t>擬聘全時或碩</w:t>
      </w:r>
      <w:r>
        <w:rPr>
          <w:rFonts w:eastAsia="標楷體"/>
        </w:rPr>
        <w:t>/</w:t>
      </w:r>
      <w:r>
        <w:rPr>
          <w:rFonts w:eastAsia="標楷體"/>
        </w:rPr>
        <w:t>博士生或兼職或其他類人員操作；</w:t>
      </w:r>
      <w:r>
        <w:rPr>
          <w:rFonts w:eastAsia="標楷體"/>
        </w:rPr>
        <w:t>(2)</w:t>
      </w:r>
      <w:r>
        <w:rPr>
          <w:rFonts w:eastAsia="標楷體"/>
        </w:rPr>
        <w:t>學校對此新購儀器，操作人力支援情況；</w:t>
      </w:r>
      <w:r>
        <w:rPr>
          <w:rFonts w:eastAsia="標楷體"/>
        </w:rPr>
        <w:t>(3)</w:t>
      </w:r>
      <w:r>
        <w:rPr>
          <w:rFonts w:eastAsia="標楷體"/>
        </w:rPr>
        <w:t>如非全時操作者，請分別列出分配在本儀器及其它儀器之工作時間、工作項目及相關內容；</w:t>
      </w:r>
      <w:r>
        <w:rPr>
          <w:rFonts w:eastAsia="標楷體"/>
        </w:rPr>
        <w:t>(4)</w:t>
      </w:r>
      <w:r>
        <w:rPr>
          <w:rFonts w:eastAsia="標楷體"/>
        </w:rPr>
        <w:t>如未有全時操作人員，對本儀器的服務績效是否會有影響。</w:t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篇幅以一頁為限</w:t>
      </w:r>
      <w:r>
        <w:rPr>
          <w:rFonts w:eastAsia="標楷體"/>
        </w:rPr>
        <w:t xml:space="preserve">)        </w:t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>
          <w:rFonts w:eastAsia="標楷體"/>
        </w:rPr>
      </w:pPr>
      <w:r>
        <w:rPr>
          <w:rFonts w:eastAsia="標楷體"/>
        </w:rPr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240" w:leader="none"/>
        </w:tabs>
        <w:rPr/>
      </w:pPr>
      <w:r>
        <w:rPr>
          <w:rStyle w:val="Style12"/>
          <w:rFonts w:eastAsia="標楷體"/>
        </w:rPr>
        <w:t xml:space="preserve">                                                </w:t>
      </w:r>
    </w:p>
    <w:p>
      <w:pPr>
        <w:pStyle w:val="Style2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tabs>
          <w:tab w:val="clear" w:pos="480"/>
          <w:tab w:val="left" w:pos="-120" w:leader="none"/>
        </w:tabs>
        <w:rPr>
          <w:rFonts w:eastAsia="標楷體"/>
          <w:b/>
          <w:b/>
          <w:sz w:val="26"/>
          <w:szCs w:val="26"/>
        </w:rPr>
      </w:pPr>
      <w:r>
        <w:rPr>
          <w:rFonts w:eastAsia="標楷體"/>
          <w:b/>
          <w:sz w:val="26"/>
          <w:szCs w:val="26"/>
        </w:rPr>
        <w:t xml:space="preserve">                                                                              </w:t>
      </w:r>
    </w:p>
    <w:p>
      <w:pPr>
        <w:pStyle w:val="Style22"/>
        <w:tabs>
          <w:tab w:val="clear" w:pos="480"/>
          <w:tab w:val="left" w:pos="240" w:leader="none"/>
        </w:tabs>
        <w:rPr/>
      </w:pPr>
      <w:r>
        <w:rPr>
          <w:rStyle w:val="Style12"/>
          <w:rFonts w:eastAsia="標楷體"/>
          <w:shd w:fill="FFFF00" w:val="clear"/>
        </w:rPr>
        <w:t>M107</w:t>
      </w:r>
    </w:p>
    <w:p>
      <w:pPr>
        <w:pStyle w:val="Style22"/>
        <w:tabs>
          <w:tab w:val="clear" w:pos="480"/>
          <w:tab w:val="left" w:pos="6946" w:leader="none"/>
        </w:tabs>
        <w:rPr>
          <w:rFonts w:eastAsia="標楷體"/>
          <w:kern w:val="0"/>
        </w:rPr>
      </w:pPr>
      <w:r>
        <w:rPr>
          <w:rFonts w:eastAsia="標楷體"/>
          <w:kern w:val="0"/>
        </w:rPr>
      </w:r>
    </w:p>
    <w:sectPr>
      <w:footerReference w:type="default" r:id="rId3"/>
      <w:type w:val="nextPage"/>
      <w:pgSz w:w="11906" w:h="16838"/>
      <w:pgMar w:left="794" w:right="849" w:header="0" w:top="851" w:footer="992" w:bottom="568" w:gutter="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sө">
    <w:charset w:val="88"/>
    <w:family w:val="roman"/>
    <w:pitch w:val="default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Liberation Sans">
    <w:altName w:val="Arial"/>
    <w:charset w:val="88"/>
    <w:family w:val="swiss"/>
    <w:pitch w:val="variable"/>
  </w:font>
  <w:font w:name="新細明體">
    <w:charset w:val="88"/>
    <w:family w:val="roman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jc w:val="center"/>
      <w:rPr/>
    </w:pPr>
    <w:r>
      <w:rPr>
        <w:rStyle w:val="Style12"/>
        <w:lang w:val="zh-TW"/>
      </w:rPr>
      <w:fldChar w:fldCharType="begin"/>
    </w:r>
    <w:r>
      <w:rPr>
        <w:rStyle w:val="Style12"/>
        <w:lang w:val="zh-TW"/>
      </w:rPr>
      <w:instrText> PAGE </w:instrText>
    </w:r>
    <w:r>
      <w:rPr>
        <w:rStyle w:val="Style12"/>
        <w:lang w:val="zh-TW"/>
      </w:rPr>
      <w:fldChar w:fldCharType="separate"/>
    </w:r>
    <w:r>
      <w:rPr>
        <w:rStyle w:val="Style12"/>
        <w:lang w:val="zh-TW"/>
      </w:rPr>
      <w:t>10</w:t>
    </w:r>
    <w:r>
      <w:rPr>
        <w:rStyle w:val="Style12"/>
        <w:lang w:val="zh-TW"/>
      </w:rPr>
      <w:fldChar w:fldCharType="end"/>
    </w:r>
  </w:p>
  <w:p>
    <w:pPr>
      <w:pStyle w:val="Style2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0"/>
        </w:tabs>
        <w:ind w:left="361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paragraph" w:styleId="1">
    <w:name w:val="Heading 1"/>
    <w:basedOn w:val="Style22"/>
    <w:next w:val="Style22"/>
    <w:qFormat/>
    <w:pPr>
      <w:keepNext w:val="true"/>
      <w:numPr>
        <w:ilvl w:val="0"/>
        <w:numId w:val="1"/>
      </w:numPr>
      <w:tabs>
        <w:tab w:val="clear" w:pos="480"/>
      </w:tabs>
      <w:suppressAutoHyphens w:val="true"/>
      <w:spacing w:lineRule="exact" w:line="240"/>
      <w:ind w:left="75" w:hanging="0"/>
      <w:jc w:val="center"/>
      <w:outlineLvl w:val="0"/>
    </w:pPr>
    <w:rPr>
      <w:rFonts w:eastAsia="標楷體"/>
      <w:sz w:val="28"/>
      <w:shd w:fill="FFFFFF" w:val="clear"/>
    </w:rPr>
  </w:style>
  <w:style w:type="paragraph" w:styleId="2">
    <w:name w:val="Heading 2"/>
    <w:basedOn w:val="Style22"/>
    <w:next w:val="Style22"/>
    <w:qFormat/>
    <w:pPr>
      <w:keepNext w:val="true"/>
      <w:numPr>
        <w:ilvl w:val="1"/>
        <w:numId w:val="1"/>
      </w:numPr>
      <w:suppressAutoHyphens w:val="true"/>
      <w:spacing w:lineRule="auto" w:line="720"/>
      <w:outlineLvl w:val="1"/>
    </w:pPr>
    <w:rPr>
      <w:rFonts w:ascii="Cambria" w:hAnsi="Cambria" w:eastAsia="新細明體" w:cs="Times New Roman"/>
      <w:b/>
      <w:bCs/>
      <w:sz w:val="48"/>
      <w:szCs w:val="48"/>
    </w:rPr>
  </w:style>
  <w:style w:type="character" w:styleId="Style12">
    <w:name w:val="預設段落字型"/>
    <w:qFormat/>
    <w:rPr/>
  </w:style>
  <w:style w:type="character" w:styleId="Sub20">
    <w:name w:val="sub20"/>
    <w:basedOn w:val="Style12"/>
    <w:qFormat/>
    <w:rPr/>
  </w:style>
  <w:style w:type="character" w:styleId="Sub15h1">
    <w:name w:val="sub15h1"/>
    <w:qFormat/>
    <w:rPr>
      <w:rFonts w:ascii="sө" w:hAnsi="sө"/>
      <w:b/>
      <w:bCs/>
      <w:strike w:val="false"/>
      <w:dstrike w:val="false"/>
      <w:color w:val="CC3333"/>
      <w:sz w:val="15"/>
      <w:szCs w:val="15"/>
      <w:u w:val="none"/>
    </w:rPr>
  </w:style>
  <w:style w:type="character" w:styleId="Style13">
    <w:name w:val="強調粗體"/>
    <w:qFormat/>
    <w:rPr>
      <w:b/>
      <w:bCs/>
    </w:rPr>
  </w:style>
  <w:style w:type="character" w:styleId="Style14">
    <w:name w:val="超連結"/>
    <w:qFormat/>
    <w:rPr>
      <w:color w:val="0000FF"/>
      <w:u w:val="single"/>
    </w:rPr>
  </w:style>
  <w:style w:type="character" w:styleId="Style15">
    <w:name w:val="已查閱的超連結"/>
    <w:qFormat/>
    <w:rPr>
      <w:color w:val="800080"/>
      <w:u w:val="single"/>
    </w:rPr>
  </w:style>
  <w:style w:type="character" w:styleId="Style16">
    <w:name w:val="註解文字 字元"/>
    <w:qFormat/>
    <w:rPr>
      <w:sz w:val="24"/>
    </w:rPr>
  </w:style>
  <w:style w:type="character" w:styleId="Style17">
    <w:name w:val="頁首 字元"/>
    <w:qFormat/>
    <w:rPr/>
  </w:style>
  <w:style w:type="character" w:styleId="Style18">
    <w:name w:val="頁碼"/>
    <w:rPr/>
  </w:style>
  <w:style w:type="character" w:styleId="Style19">
    <w:name w:val="本文縮排 字元"/>
    <w:qFormat/>
    <w:rPr>
      <w:rFonts w:ascii="標楷體" w:hAnsi="標楷體" w:eastAsia="標楷體"/>
      <w:sz w:val="28"/>
    </w:rPr>
  </w:style>
  <w:style w:type="character" w:styleId="21">
    <w:name w:val="標題 2 字元"/>
    <w:basedOn w:val="Style12"/>
    <w:qFormat/>
    <w:rPr>
      <w:rFonts w:ascii="Cambria" w:hAnsi="Cambria" w:eastAsia="新細明體" w:cs="Times New Roman"/>
      <w:b/>
      <w:bCs/>
      <w:kern w:val="2"/>
      <w:sz w:val="48"/>
      <w:szCs w:val="48"/>
    </w:rPr>
  </w:style>
  <w:style w:type="character" w:styleId="Style20">
    <w:name w:val="頁尾 字元"/>
    <w:basedOn w:val="Style12"/>
    <w:qFormat/>
    <w:rPr/>
  </w:style>
  <w:style w:type="character" w:styleId="WWCharLFO1LVL1">
    <w:name w:val="WW_CharLFO1LVL1"/>
    <w:qFormat/>
    <w:rPr>
      <w:rFonts w:ascii="Wingdings" w:hAnsi="Wingdings"/>
    </w:rPr>
  </w:style>
  <w:style w:type="character" w:styleId="WWCharLFO2LVL1">
    <w:name w:val="WW_CharLFO2LVL1"/>
    <w:qFormat/>
    <w:rPr>
      <w:rFonts w:ascii="標楷體" w:hAnsi="標楷體" w:eastAsia="標楷體" w:cs="@華康新篆體(P)"/>
    </w:rPr>
  </w:style>
  <w:style w:type="character" w:styleId="WWCharLFO3LVL1">
    <w:name w:val="WW_CharLFO3LVL1"/>
    <w:qFormat/>
    <w:rPr>
      <w:rFonts w:ascii="標楷體" w:hAnsi="標楷體" w:eastAsia="標楷體" w:cs="@華康新篆體(P)"/>
    </w:rPr>
  </w:style>
  <w:style w:type="character" w:styleId="WWCharLFO4LVL1">
    <w:name w:val="WW_CharLFO4LVL1"/>
    <w:qFormat/>
    <w:rPr>
      <w:rFonts w:ascii="標楷體" w:hAnsi="標楷體" w:eastAsia="標楷體" w:cs="Times New Roman"/>
    </w:rPr>
  </w:style>
  <w:style w:type="character" w:styleId="WWCharLFO5LVL1">
    <w:name w:val="WW_CharLFO5LVL1"/>
    <w:qFormat/>
    <w:rPr>
      <w:rFonts w:ascii="標楷體" w:hAnsi="標楷體" w:eastAsia="標楷體" w:cs="@華康新篆體(P)"/>
      <w:color w:val="auto"/>
    </w:rPr>
  </w:style>
  <w:style w:type="character" w:styleId="WWCharLFO6LVL1">
    <w:name w:val="WW_CharLFO6LVL1"/>
    <w:qFormat/>
    <w:rPr>
      <w:rFonts w:ascii="標楷體" w:hAnsi="標楷體" w:eastAsia="標楷體" w:cs="Times New Roman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7LVL1">
    <w:name w:val="WW_CharLFO7LVL1"/>
    <w:qFormat/>
    <w:rPr>
      <w:rFonts w:ascii="標楷體" w:hAnsi="標楷體" w:eastAsia="標楷體" w:cs="@華康新篆體(P)"/>
    </w:rPr>
  </w:style>
  <w:style w:type="character" w:styleId="WWCharLFO8LVL1">
    <w:name w:val="WW_CharLFO8LVL1"/>
    <w:qFormat/>
    <w:rPr>
      <w:rFonts w:ascii="標楷體" w:hAnsi="標楷體" w:eastAsia="標楷體" w:cs="@華康新篆體(P)"/>
      <w:color w:val="auto"/>
    </w:rPr>
  </w:style>
  <w:style w:type="character" w:styleId="WWCharLFO10LVL1">
    <w:name w:val="WW_CharLFO10LVL1"/>
    <w:qFormat/>
    <w:rPr>
      <w:rFonts w:ascii="標楷體" w:hAnsi="標楷體" w:eastAsia="標楷體" w:cs="@華康新篆體(P)"/>
    </w:rPr>
  </w:style>
  <w:style w:type="character" w:styleId="WWCharLFO11LVL1">
    <w:name w:val="WW_CharLFO11LVL1"/>
    <w:qFormat/>
    <w:rPr>
      <w:rFonts w:ascii="標楷體" w:hAnsi="標楷體" w:eastAsia="標楷體" w:cs="@華康新篆體(P)"/>
      <w:color w:val="auto"/>
    </w:rPr>
  </w:style>
  <w:style w:type="paragraph" w:styleId="Style21">
    <w:name w:val="標題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微軟正黑體" w:cs="Tahoma"/>
      <w:sz w:val="28"/>
      <w:szCs w:val="28"/>
    </w:rPr>
  </w:style>
  <w:style w:type="paragraph" w:styleId="Style22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23">
    <w:name w:val="註解文字"/>
    <w:basedOn w:val="Style22"/>
    <w:qFormat/>
    <w:pPr>
      <w:suppressAutoHyphens w:val="true"/>
      <w:spacing w:lineRule="atLeast" w:line="360"/>
    </w:pPr>
    <w:rPr>
      <w:kern w:val="0"/>
      <w:szCs w:val="20"/>
    </w:rPr>
  </w:style>
  <w:style w:type="paragraph" w:styleId="Style24">
    <w:name w:val="項目符號"/>
    <w:basedOn w:val="Style22"/>
    <w:autoRedefine/>
    <w:qFormat/>
    <w:pPr>
      <w:numPr>
        <w:ilvl w:val="0"/>
        <w:numId w:val="2"/>
      </w:numPr>
      <w:suppressAutoHyphens w:val="true"/>
    </w:pPr>
    <w:rPr/>
  </w:style>
  <w:style w:type="paragraph" w:styleId="Style25">
    <w:name w:val="本文縮排"/>
    <w:basedOn w:val="Style22"/>
    <w:qFormat/>
    <w:pPr>
      <w:tabs>
        <w:tab w:val="clear" w:pos="480"/>
      </w:tabs>
      <w:suppressAutoHyphens w:val="true"/>
      <w:spacing w:lineRule="exact" w:line="360" w:before="0" w:after="120"/>
      <w:ind w:left="840" w:hanging="840"/>
      <w:textAlignment w:val="baseline"/>
    </w:pPr>
    <w:rPr>
      <w:rFonts w:ascii="標楷體" w:hAnsi="標楷體" w:eastAsia="標楷體"/>
      <w:kern w:val="0"/>
      <w:sz w:val="28"/>
      <w:szCs w:val="20"/>
    </w:rPr>
  </w:style>
  <w:style w:type="paragraph" w:styleId="22">
    <w:name w:val="本文縮排 2"/>
    <w:basedOn w:val="Style22"/>
    <w:qFormat/>
    <w:pPr>
      <w:tabs>
        <w:tab w:val="clear" w:pos="480"/>
      </w:tabs>
      <w:suppressAutoHyphens w:val="true"/>
      <w:ind w:left="360" w:hanging="0"/>
      <w:jc w:val="both"/>
    </w:pPr>
    <w:rPr/>
  </w:style>
  <w:style w:type="paragraph" w:styleId="3">
    <w:name w:val="本文縮排 3"/>
    <w:basedOn w:val="Style22"/>
    <w:qFormat/>
    <w:pPr>
      <w:tabs>
        <w:tab w:val="clear" w:pos="480"/>
      </w:tabs>
      <w:suppressAutoHyphens w:val="true"/>
      <w:spacing w:lineRule="exact" w:line="400"/>
      <w:ind w:left="912" w:hanging="672"/>
      <w:jc w:val="both"/>
    </w:pPr>
    <w:rPr>
      <w:rFonts w:eastAsia="標楷體"/>
    </w:rPr>
  </w:style>
  <w:style w:type="paragraph" w:styleId="Style26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Style22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  <w:spacing w:lineRule="atLeast" w:line="360"/>
      <w:textAlignment w:val="baseline"/>
    </w:pPr>
    <w:rPr>
      <w:kern w:val="0"/>
      <w:sz w:val="20"/>
      <w:szCs w:val="20"/>
    </w:rPr>
  </w:style>
  <w:style w:type="paragraph" w:styleId="Style28">
    <w:name w:val="Footer"/>
    <w:basedOn w:val="Style22"/>
    <w:pPr>
      <w:tabs>
        <w:tab w:val="clear" w:pos="480"/>
        <w:tab w:val="center" w:pos="4153" w:leader="none"/>
        <w:tab w:val="right" w:pos="8306" w:leader="none"/>
      </w:tabs>
      <w:suppressAutoHyphens w:val="true"/>
      <w:spacing w:lineRule="atLeast" w:line="360"/>
      <w:textAlignment w:val="baseline"/>
    </w:pPr>
    <w:rPr>
      <w:kern w:val="0"/>
      <w:sz w:val="20"/>
      <w:szCs w:val="20"/>
    </w:rPr>
  </w:style>
  <w:style w:type="paragraph" w:styleId="Web">
    <w:name w:val="內文 (Web)"/>
    <w:basedOn w:val="Style22"/>
    <w:qFormat/>
    <w:pPr>
      <w:widowControl/>
      <w:suppressAutoHyphens w:val="true"/>
      <w:spacing w:before="100" w:after="100"/>
    </w:pPr>
    <w:rPr>
      <w:rFonts w:ascii="新細明體" w:hAnsi="新細明體"/>
      <w:color w:val="000000"/>
      <w:kern w:val="0"/>
    </w:rPr>
  </w:style>
  <w:style w:type="paragraph" w:styleId="Style29">
    <w:name w:val="本文"/>
    <w:basedOn w:val="Style22"/>
    <w:qFormat/>
    <w:pPr>
      <w:suppressAutoHyphens w:val="true"/>
      <w:spacing w:lineRule="exact" w:line="240"/>
    </w:pPr>
    <w:rPr>
      <w:rFonts w:ascii="標楷體" w:hAnsi="標楷體" w:eastAsia="標楷體"/>
      <w:color w:val="333333"/>
      <w:szCs w:val="13"/>
    </w:rPr>
  </w:style>
  <w:style w:type="paragraph" w:styleId="Style30">
    <w:name w:val="標號"/>
    <w:basedOn w:val="Style22"/>
    <w:next w:val="Style22"/>
    <w:qFormat/>
    <w:pPr>
      <w:suppressAutoHyphens w:val="true"/>
      <w:spacing w:before="120" w:after="120"/>
    </w:pPr>
    <w:rPr>
      <w:sz w:val="20"/>
      <w:szCs w:val="20"/>
    </w:rPr>
  </w:style>
  <w:style w:type="paragraph" w:styleId="Style31">
    <w:name w:val="註解方塊文字"/>
    <w:basedOn w:val="Style22"/>
    <w:qFormat/>
    <w:pPr>
      <w:suppressAutoHyphens w:val="true"/>
    </w:pPr>
    <w:rPr>
      <w:rFonts w:ascii="Arial" w:hAnsi="Arial"/>
      <w:sz w:val="18"/>
      <w:szCs w:val="18"/>
    </w:rPr>
  </w:style>
  <w:style w:type="paragraph" w:styleId="23">
    <w:name w:val="2."/>
    <w:basedOn w:val="Style22"/>
    <w:qFormat/>
    <w:pPr>
      <w:tabs>
        <w:tab w:val="clear" w:pos="480"/>
      </w:tabs>
      <w:suppressAutoHyphens w:val="true"/>
      <w:snapToGrid w:val="false"/>
      <w:ind w:left="-2" w:firstLine="1120"/>
      <w:jc w:val="both"/>
    </w:pPr>
    <w:rPr>
      <w:rFonts w:ascii="標楷體" w:hAnsi="標楷體" w:eastAsia="標楷體"/>
      <w:color w:val="000000"/>
      <w:sz w:val="28"/>
      <w:szCs w:val="30"/>
    </w:rPr>
  </w:style>
  <w:style w:type="paragraph" w:styleId="Style32">
    <w:name w:val="清單段落"/>
    <w:basedOn w:val="Style22"/>
    <w:qFormat/>
    <w:pPr>
      <w:tabs>
        <w:tab w:val="clear" w:pos="480"/>
      </w:tabs>
      <w:suppressAutoHyphens w:val="true"/>
      <w:ind w:left="480" w:hanging="0"/>
    </w:pPr>
    <w:rPr/>
  </w:style>
  <w:style w:type="paragraph" w:styleId="Style33">
    <w:name w:val="表格內容"/>
    <w:basedOn w:val="Normal"/>
    <w:qFormat/>
    <w:pPr>
      <w:widowControl w:val="false"/>
      <w:suppressLineNumbers/>
    </w:pPr>
    <w:rPr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LibreOffice/7.1.6.2$Windows_X86_64 LibreOffice_project/0e133318fcee89abacd6a7d077e292f1145735c3</Application>
  <AppVersion>15.0000</AppVersion>
  <Pages>8</Pages>
  <Words>206</Words>
  <Characters>1180</Characters>
  <CharactersWithSpaces>1384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2022-05-12T03:07:00Z</dcterms:created>
  <dc:creator>cynthia</dc:creator>
  <dc:description/>
  <dc:language>zh-TW</dc:language>
  <cp:lastModifiedBy>朱玉玲</cp:lastModifiedBy>
  <cp:lastPrinted>2021-09-23T03:31:00Z</cp:lastPrinted>
  <dcterms:modified xsi:type="dcterms:W3CDTF">2022-05-12T03:07:00Z</dcterms:modified>
  <cp:revision>2</cp:revision>
  <dc:subject/>
  <dc:title>行政院國家科學委員會專題研究計畫申請書</dc:title>
</cp:coreProperties>
</file>